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073F8C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default" w:eastAsia="宋体"/>
          <w:b/>
          <w:bCs/>
          <w:color w:val="36363D"/>
          <w:sz w:val="32"/>
          <w:szCs w:val="32"/>
          <w:lang w:val="en-US" w:eastAsia="zh-CN"/>
        </w:rPr>
      </w:pPr>
      <w:r>
        <w:rPr>
          <w:rFonts w:hint="eastAsia"/>
          <w:b/>
          <w:bCs/>
          <w:color w:val="36363D"/>
          <w:sz w:val="32"/>
          <w:szCs w:val="32"/>
          <w:lang w:val="en-US" w:eastAsia="zh-CN"/>
        </w:rPr>
        <w:t>全自动血液贴签包装机询价技术参数</w:t>
      </w:r>
    </w:p>
    <w:p w14:paraId="4D8B9020">
      <w:pPr>
        <w:pStyle w:val="1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</w:rPr>
        <w:t>设备适用于不同规格和类别的血液成分进行自动贴签和包装，各种规格的红细胞、冰冻血浆、冷沉淀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  <w:lang w:val="en-US" w:eastAsia="zh-CN"/>
        </w:rPr>
        <w:t>凝血因子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</w:rPr>
        <w:t>、血小板等。</w:t>
      </w:r>
    </w:p>
    <w:p w14:paraId="5419902C">
      <w:pPr>
        <w:pStyle w:val="1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</w:rPr>
        <w:t>每小时贴签包装血液产品数量≥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  <w:lang w:val="en-US" w:eastAsia="zh-CN"/>
        </w:rPr>
        <w:t>350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</w:rPr>
        <w:t>袋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  <w:lang w:eastAsia="zh-CN"/>
        </w:rPr>
        <w:t>；</w:t>
      </w:r>
    </w:p>
    <w:p w14:paraId="0CEC306B">
      <w:pPr>
        <w:pStyle w:val="1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</w:rPr>
        <w:t>血液贴签包装环节采用独立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  <w:lang w:val="en-US" w:eastAsia="zh-CN"/>
        </w:rPr>
        <w:t>载具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</w:rPr>
        <w:t>进行平移运输，保证血液贴签包装的精准定位，能够对血袋及血辫进行保护,每次只对一袋血液进行贴签和包装，防止血液交叉污染；在运输血液过程中不能够对血液进行挤压造成破损等风险，同时便于清洁维护。</w:t>
      </w:r>
    </w:p>
    <w:p w14:paraId="7E7A6AF3">
      <w:pPr>
        <w:pStyle w:val="1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</w:rPr>
        <w:t>配置独立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  <w:lang w:val="en-US" w:eastAsia="zh-CN"/>
        </w:rPr>
        <w:t>载具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</w:rPr>
        <w:t>数量≥6个，有明显标识指引操作者放置血袋，方便操作人员放置血袋。</w:t>
      </w:r>
    </w:p>
    <w:p w14:paraId="14A08BB6">
      <w:pPr>
        <w:pStyle w:val="1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  <w:lang w:val="en-US" w:eastAsia="zh-CN"/>
        </w:rPr>
        <w:t xml:space="preserve">精确识别并校对血袋信息，采用双 CCD 系统，先精确识别血袋原始献血码，根据血袋原始献血码打印出血液成品标签，贴完标签后对成品标签和原始献血码再次扫码比对，确保信息准确。 </w:t>
      </w:r>
    </w:p>
    <w:p w14:paraId="271AE222">
      <w:pPr>
        <w:pStyle w:val="1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</w:rPr>
        <w:t>5+N码核对功能：对贴签后血液产品原始献血码、打印献血码、血型码、效期码、产品码进行5码核对，同时N个小标签条码进行核对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</w:rPr>
        <w:t>自动除霜功能：对冰冻血袋表面自动除霜，确保常温标签在冰冻血袋上粘贴牢固。</w:t>
      </w:r>
    </w:p>
    <w:p w14:paraId="2AB85994">
      <w:pPr>
        <w:pStyle w:val="1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</w:rPr>
        <w:t>压标装置≥2套，一套用于剥签贴签，一套用于二次复压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  <w:lang w:val="en-US" w:eastAsia="zh-CN"/>
        </w:rPr>
        <w:t>并可以模拟人手加温进行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</w:rPr>
        <w:t>捂标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  <w:lang w:val="en-US" w:eastAsia="zh-CN"/>
        </w:rPr>
        <w:t>动作，保证标签粘贴牢固，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</w:rPr>
        <w:t>两套系统可同时进行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  <w:lang w:eastAsia="zh-CN"/>
        </w:rPr>
        <w:t>。</w:t>
      </w:r>
    </w:p>
    <w:p w14:paraId="18674B4B">
      <w:pPr>
        <w:pStyle w:val="1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</w:rPr>
        <w:t>自动分拣通道≥3个：合格血液通道，不合格血液通道；校验失败通道。</w:t>
      </w:r>
    </w:p>
    <w:p w14:paraId="6450E27E">
      <w:pPr>
        <w:pStyle w:val="1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</w:rPr>
        <w:t>包装袋封口技术：支持透明塑料PE包装袋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</w:rPr>
        <w:t>三侧封闭，一侧开口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</w:rPr>
        <w:t>，支持气泡防撞袋PE包装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</w:rPr>
        <w:t>三侧封闭，一侧开口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</w:rPr>
        <w:t>。采用单边热熔技术封口，热熔无异味。</w:t>
      </w:r>
    </w:p>
    <w:p w14:paraId="10DA45DC">
      <w:pPr>
        <w:pStyle w:val="1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</w:rPr>
        <w:t>与血液产品有接触的传输装置、包装袋和气泡袋等材质符合国家环保要求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  <w:lang w:eastAsia="zh-CN"/>
        </w:rPr>
        <w:t>。</w:t>
      </w:r>
    </w:p>
    <w:p w14:paraId="3EFF049F">
      <w:pPr>
        <w:pStyle w:val="1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</w:rPr>
        <w:t>贴签过程全景可视化：设备设置血袋放置区、标签打印区、标签压标、标签捂标区、包装区、不合格存放区，上述区域全可视化，满足目视检查功能。</w:t>
      </w:r>
    </w:p>
    <w:p w14:paraId="20850835">
      <w:pPr>
        <w:pStyle w:val="1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</w:rPr>
        <w:t>声光报警功能：实时监测贴签包装各个工位的动作状况：正常、异常、完成状态等采用不同颜色显示，具有异常提示功能（声光报警） 保证血液产品贴签包装的安全有效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  <w:lang w:eastAsia="zh-CN"/>
        </w:rPr>
        <w:t>。</w:t>
      </w:r>
    </w:p>
    <w:p w14:paraId="26C7F92B">
      <w:pPr>
        <w:pStyle w:val="1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36363D"/>
          <w:sz w:val="24"/>
          <w:szCs w:val="24"/>
        </w:rPr>
        <w:t>自动记录操作人员信息、血液产品信息、贴签信息、5+N码核对信息、包装信息等，贴签包装信息全程可追溯。</w:t>
      </w:r>
    </w:p>
    <w:p w14:paraId="31AFB9CA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b w:val="0"/>
          <w:bCs w:val="0"/>
          <w:color w:val="36363D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36363D"/>
          <w:kern w:val="2"/>
          <w:sz w:val="24"/>
          <w:szCs w:val="24"/>
          <w:lang w:val="en-US" w:eastAsia="zh-CN" w:bidi="ar-SA"/>
        </w:rPr>
        <w:t xml:space="preserve">14.设备所适用的包装袋和气泡袋尺寸：≤250mm（长）*180mm（宽），大小适配血液制品尺寸，减少包装后袋内的多余空隙，避免再次人工对折。 </w:t>
      </w:r>
    </w:p>
    <w:p w14:paraId="56636EAE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36363D"/>
          <w:kern w:val="2"/>
          <w:sz w:val="24"/>
          <w:szCs w:val="2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36363D"/>
          <w:kern w:val="2"/>
          <w:sz w:val="24"/>
          <w:szCs w:val="24"/>
          <w:lang w:val="en-US" w:eastAsia="zh-CN" w:bidi="ar-SA"/>
        </w:rPr>
        <w:t>15.设备可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36363D"/>
          <w:kern w:val="2"/>
          <w:sz w:val="24"/>
          <w:szCs w:val="22"/>
          <w:lang w:val="en-US" w:eastAsia="zh-CN" w:bidi="ar-SA"/>
        </w:rPr>
        <w:t>与血站信息系统联网，确保信息一致，数据安全。</w:t>
      </w:r>
      <w:bookmarkStart w:id="0" w:name="_GoBack"/>
      <w:bookmarkEnd w:id="0"/>
    </w:p>
    <w:p w14:paraId="19F3F0C3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36363D"/>
          <w:kern w:val="2"/>
          <w:sz w:val="24"/>
          <w:szCs w:val="22"/>
          <w:lang w:val="en-US" w:eastAsia="zh-CN" w:bidi="ar-SA"/>
        </w:rPr>
      </w:pPr>
    </w:p>
    <w:p w14:paraId="3FD11710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36363D"/>
          <w:kern w:val="2"/>
          <w:sz w:val="24"/>
          <w:szCs w:val="22"/>
          <w:lang w:val="en-US" w:eastAsia="zh-CN" w:bidi="ar-SA"/>
        </w:rPr>
      </w:pPr>
    </w:p>
    <w:p w14:paraId="01D44CBD">
      <w:pPr>
        <w:numPr>
          <w:ilvl w:val="0"/>
          <w:numId w:val="0"/>
        </w:num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大容量冷冻离心机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技术参数</w:t>
      </w:r>
    </w:p>
    <w:p w14:paraId="7FFBEB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val="en-US" w:eastAsia="zh-CN"/>
        </w:rPr>
        <w:t xml:space="preserve">1、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用于血站血液离心制备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</w:rPr>
        <w:t>400ml血袋x 1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val="en-US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val="en-US" w:eastAsia="zh-CN"/>
        </w:rPr>
        <w:t>袋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</w:rPr>
        <w:t xml:space="preserve">200ml血袋x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val="en-US"/>
        </w:rPr>
        <w:t>32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val="en-US" w:eastAsia="zh-CN"/>
        </w:rPr>
        <w:t>袋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eastAsia="zh-CN"/>
        </w:rPr>
        <w:t>；</w:t>
      </w:r>
    </w:p>
    <w:p w14:paraId="65A660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>2、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</w:rPr>
        <w:t>最高转速：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val="en-US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val="en-US" w:eastAsia="zh-CN"/>
        </w:rPr>
        <w:t>挂杯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</w:rPr>
        <w:t>水平转子 ≥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val="en-US"/>
        </w:rPr>
        <w:t>4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</w:rPr>
        <w:t>000rpm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</w:rPr>
        <w:t>最大离心力：水平转子≥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val="en-US"/>
        </w:rPr>
        <w:t>5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val="en-US" w:eastAsia="zh-CN"/>
        </w:rPr>
        <w:t>0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val="en-US"/>
        </w:rPr>
        <w:t>0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val="en-US" w:eastAsia="zh-CN"/>
        </w:rPr>
        <w:t>0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</w:rPr>
        <w:t>x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</w:rPr>
        <w:t xml:space="preserve">g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eastAsia="zh-CN"/>
        </w:rPr>
        <w:t>；</w:t>
      </w:r>
    </w:p>
    <w:p w14:paraId="2D9A43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3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val="en-US" w:eastAsia="zh-CN"/>
        </w:rPr>
        <w:t>转速精度±10r/min；</w:t>
      </w:r>
    </w:p>
    <w:p w14:paraId="43F532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val="en-US" w:eastAsia="zh-CN"/>
        </w:rPr>
        <w:t>3、离心时间设定0-2h，可以秒为单位进行调节，离心机时间精度±20秒；</w:t>
      </w:r>
    </w:p>
    <w:p w14:paraId="7DF6DB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val="en-US" w:eastAsia="zh-CN"/>
        </w:rPr>
        <w:t>4、预温速度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</w:rPr>
        <w:t>：温度从常温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val="en-US" w:eastAsia="zh-CN"/>
        </w:rPr>
        <w:t>≥21℃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</w:rPr>
        <w:t>降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val="en-US" w:eastAsia="zh-CN"/>
        </w:rPr>
        <w:t>至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</w:rPr>
        <w:t>4℃不超过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val="en-US" w:eastAsia="zh-CN"/>
        </w:rPr>
        <w:t>30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</w:rPr>
        <w:t>分钟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eastAsia="zh-CN"/>
        </w:rPr>
        <w:t>；</w:t>
      </w:r>
    </w:p>
    <w:p w14:paraId="7438EE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79" w:leftChars="114" w:hanging="240" w:hangingChars="1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val="en-US" w:eastAsia="zh-CN"/>
        </w:rPr>
        <w:t>5、温度设定范围：-20到40℃，1℃可调，血液离心时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</w:rPr>
        <w:t>最高转速运转可保持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val="en-US" w:eastAsia="zh-CN"/>
        </w:rPr>
        <w:t>设定温度且温度波动偏差不大于±1℃。</w:t>
      </w:r>
    </w:p>
    <w:p w14:paraId="74CDC2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jc w:val="left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val="en-US" w:eastAsia="zh-CN"/>
        </w:rPr>
        <w:t>6、核心部件：电机、压缩机采用知名品牌。</w:t>
      </w:r>
    </w:p>
    <w:p w14:paraId="15310C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val="en-US" w:eastAsia="zh-CN"/>
        </w:rPr>
        <w:t>7、最高转速最大载荷下，整机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</w:rPr>
        <w:t>噪音≤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val="en-US" w:eastAsia="zh-CN"/>
        </w:rPr>
        <w:t xml:space="preserve"> 65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</w:rPr>
        <w:t>dB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val="en-US" w:eastAsia="zh-CN"/>
        </w:rPr>
        <w:t>；</w:t>
      </w:r>
    </w:p>
    <w:p w14:paraId="096387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val="en-US" w:eastAsia="zh-CN"/>
        </w:rPr>
        <w:t>8、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</w:rPr>
        <w:t>离心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val="en-US" w:eastAsia="zh-CN"/>
        </w:rPr>
        <w:t>机盖连接转子风盾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</w:rPr>
        <w:t>一体化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val="en-US" w:eastAsia="zh-CN"/>
        </w:rPr>
        <w:t>设计，一键启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</w:rPr>
        <w:t>动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val="en-US" w:eastAsia="zh-CN"/>
        </w:rPr>
        <w:t>机盖与风盾连体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</w:rPr>
        <w:t>升降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val="en-US" w:eastAsia="zh-CN"/>
        </w:rPr>
        <w:t>，盖板遇阻力自动停止并反弹上升至起始位；有故障报警功能提示，具有用户权限管理功能。</w:t>
      </w:r>
    </w:p>
    <w:p w14:paraId="38B030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val="en-US" w:eastAsia="zh-CN"/>
        </w:rPr>
        <w:t>9、离心套杯内壁经磨砂面处理，方便取放血袋，标配3套离心套杯；</w:t>
      </w:r>
    </w:p>
    <w:p w14:paraId="646F8E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</w:p>
    <w:p w14:paraId="74EBB3C3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36363D"/>
          <w:kern w:val="2"/>
          <w:sz w:val="24"/>
          <w:szCs w:val="22"/>
          <w:lang w:val="en-US" w:eastAsia="zh-CN" w:bidi="ar-SA"/>
        </w:rPr>
      </w:pPr>
    </w:p>
    <w:p w14:paraId="47DE3747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36363D"/>
          <w:kern w:val="2"/>
          <w:sz w:val="24"/>
          <w:szCs w:val="22"/>
          <w:lang w:val="en-US" w:eastAsia="zh-CN" w:bidi="ar-SA"/>
        </w:rPr>
      </w:pPr>
    </w:p>
    <w:p w14:paraId="1F45D829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36363D"/>
          <w:kern w:val="2"/>
          <w:sz w:val="24"/>
          <w:szCs w:val="22"/>
          <w:lang w:val="en-US" w:eastAsia="zh-CN" w:bidi="ar-SA"/>
        </w:rPr>
      </w:pPr>
    </w:p>
    <w:sectPr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mNmE1YmYxMGIxMGIxZDg5YjNlNWJhMzZiZTFlOGEifQ=="/>
  </w:docVars>
  <w:rsids>
    <w:rsidRoot w:val="00000000"/>
    <w:rsid w:val="00270BE1"/>
    <w:rsid w:val="01B666C0"/>
    <w:rsid w:val="0560706F"/>
    <w:rsid w:val="05B44F0E"/>
    <w:rsid w:val="05E162FA"/>
    <w:rsid w:val="061E65E2"/>
    <w:rsid w:val="06B9606E"/>
    <w:rsid w:val="0A0A75A9"/>
    <w:rsid w:val="0A690774"/>
    <w:rsid w:val="0AA277E2"/>
    <w:rsid w:val="0DF93BBD"/>
    <w:rsid w:val="0E5139F9"/>
    <w:rsid w:val="0F531DB4"/>
    <w:rsid w:val="0F8221F0"/>
    <w:rsid w:val="11531836"/>
    <w:rsid w:val="12241424"/>
    <w:rsid w:val="13DC1FB6"/>
    <w:rsid w:val="13F866C4"/>
    <w:rsid w:val="148E0DD7"/>
    <w:rsid w:val="1732013F"/>
    <w:rsid w:val="176F3141"/>
    <w:rsid w:val="1C8C20A0"/>
    <w:rsid w:val="1CDD28FB"/>
    <w:rsid w:val="1E641526"/>
    <w:rsid w:val="1ECC2C27"/>
    <w:rsid w:val="204809D3"/>
    <w:rsid w:val="2059498F"/>
    <w:rsid w:val="244F2331"/>
    <w:rsid w:val="26997893"/>
    <w:rsid w:val="26A61FB0"/>
    <w:rsid w:val="26F873ED"/>
    <w:rsid w:val="28057A01"/>
    <w:rsid w:val="28FF0D21"/>
    <w:rsid w:val="29387837"/>
    <w:rsid w:val="298F1421"/>
    <w:rsid w:val="2A7D74CC"/>
    <w:rsid w:val="2C8B2374"/>
    <w:rsid w:val="2D151B3A"/>
    <w:rsid w:val="2D7722C3"/>
    <w:rsid w:val="2DDA2821"/>
    <w:rsid w:val="2FDB716E"/>
    <w:rsid w:val="312B5ED3"/>
    <w:rsid w:val="320F1351"/>
    <w:rsid w:val="32FE389F"/>
    <w:rsid w:val="3521667F"/>
    <w:rsid w:val="36730D18"/>
    <w:rsid w:val="36F80606"/>
    <w:rsid w:val="390C2146"/>
    <w:rsid w:val="3A65563B"/>
    <w:rsid w:val="3B9B5A04"/>
    <w:rsid w:val="3DBF1E7D"/>
    <w:rsid w:val="41CA0C38"/>
    <w:rsid w:val="453F5652"/>
    <w:rsid w:val="45FB77CB"/>
    <w:rsid w:val="47523D62"/>
    <w:rsid w:val="47564260"/>
    <w:rsid w:val="48455675"/>
    <w:rsid w:val="48F2493A"/>
    <w:rsid w:val="4A070E34"/>
    <w:rsid w:val="4A25675F"/>
    <w:rsid w:val="4B241572"/>
    <w:rsid w:val="4C516396"/>
    <w:rsid w:val="4CAA1F4A"/>
    <w:rsid w:val="4CB42DC9"/>
    <w:rsid w:val="4DC4528E"/>
    <w:rsid w:val="4F7A5C04"/>
    <w:rsid w:val="51B03B5F"/>
    <w:rsid w:val="52CA07B0"/>
    <w:rsid w:val="53D377AB"/>
    <w:rsid w:val="54745BE1"/>
    <w:rsid w:val="54C53DC5"/>
    <w:rsid w:val="55C366D9"/>
    <w:rsid w:val="56CA2972"/>
    <w:rsid w:val="56D93B58"/>
    <w:rsid w:val="572B3C88"/>
    <w:rsid w:val="5737087F"/>
    <w:rsid w:val="57C40364"/>
    <w:rsid w:val="5AA1498D"/>
    <w:rsid w:val="5AAB580B"/>
    <w:rsid w:val="5ADD34EB"/>
    <w:rsid w:val="5C0213EC"/>
    <w:rsid w:val="5DDB7371"/>
    <w:rsid w:val="5F294F51"/>
    <w:rsid w:val="606F2E37"/>
    <w:rsid w:val="609B1E7E"/>
    <w:rsid w:val="60E03D70"/>
    <w:rsid w:val="60F11A9E"/>
    <w:rsid w:val="617F354E"/>
    <w:rsid w:val="673A6256"/>
    <w:rsid w:val="67AE693B"/>
    <w:rsid w:val="68686C3A"/>
    <w:rsid w:val="6B7A6903"/>
    <w:rsid w:val="6B9A196F"/>
    <w:rsid w:val="6E963C85"/>
    <w:rsid w:val="6EA168B2"/>
    <w:rsid w:val="6F3C65DA"/>
    <w:rsid w:val="6F7E6BF3"/>
    <w:rsid w:val="712D7E1F"/>
    <w:rsid w:val="732D2E0A"/>
    <w:rsid w:val="739640DE"/>
    <w:rsid w:val="73CA0659"/>
    <w:rsid w:val="741C69DA"/>
    <w:rsid w:val="759058D2"/>
    <w:rsid w:val="77846D70"/>
    <w:rsid w:val="7A5549F4"/>
    <w:rsid w:val="7BBD4F47"/>
    <w:rsid w:val="7F3D43D5"/>
    <w:rsid w:val="7F4D0390"/>
    <w:rsid w:val="7FC5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qFormat="1" w:unhideWhenUsed="0" w:uiPriority="99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qFormat/>
    <w:uiPriority w:val="1"/>
  </w:style>
  <w:style w:type="table" w:default="1" w:styleId="8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qFormat/>
    <w:uiPriority w:val="99"/>
    <w:pPr>
      <w:jc w:val="left"/>
    </w:pPr>
  </w:style>
  <w:style w:type="paragraph" w:styleId="3">
    <w:name w:val="Body Text"/>
    <w:basedOn w:val="1"/>
    <w:link w:val="15"/>
    <w:qFormat/>
    <w:uiPriority w:val="99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4">
    <w:name w:val="Balloon Text"/>
    <w:basedOn w:val="1"/>
    <w:link w:val="18"/>
    <w:qFormat/>
    <w:uiPriority w:val="99"/>
    <w:rPr>
      <w:sz w:val="18"/>
      <w:szCs w:val="18"/>
    </w:r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20"/>
    <w:qFormat/>
    <w:uiPriority w:val="99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qFormat/>
    <w:uiPriority w:val="99"/>
    <w:rPr>
      <w:sz w:val="21"/>
      <w:szCs w:val="21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5">
    <w:name w:val="正文文本 字符"/>
    <w:basedOn w:val="10"/>
    <w:link w:val="3"/>
    <w:qFormat/>
    <w:uiPriority w:val="99"/>
    <w:rPr>
      <w:rFonts w:ascii="Times New Roman" w:hAnsi="Times New Roman" w:eastAsia="宋体" w:cs="Times New Roman"/>
      <w:szCs w:val="24"/>
    </w:rPr>
  </w:style>
  <w:style w:type="table" w:customStyle="1" w:styleId="16">
    <w:name w:val="清单表 6 彩色 - 着色 51"/>
    <w:basedOn w:val="8"/>
    <w:qFormat/>
    <w:uiPriority w:val="51"/>
    <w:rPr>
      <w:color w:val="2F5597"/>
    </w:rPr>
    <w:tblPr>
      <w:tblBorders>
        <w:top w:val="single" w:color="4472C4" w:sz="4" w:space="0"/>
        <w:bottom w:val="single" w:color="4472C4" w:sz="4" w:space="0"/>
      </w:tblBorders>
    </w:tblPr>
    <w:tblStylePr w:type="firstRow">
      <w:rPr>
        <w:b/>
        <w:bCs/>
      </w:rPr>
      <w:tcPr>
        <w:tcBorders>
          <w:bottom w:val="single" w:color="4472C4" w:sz="4" w:space="0"/>
        </w:tcBorders>
      </w:tcPr>
    </w:tblStylePr>
    <w:tblStylePr w:type="lastRow">
      <w:rPr>
        <w:b/>
        <w:bCs/>
      </w:rPr>
      <w:tcPr>
        <w:tcBorders>
          <w:top w:val="double" w:color="4472C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/>
      </w:tcPr>
    </w:tblStylePr>
    <w:tblStylePr w:type="band1Horz">
      <w:tcPr>
        <w:shd w:val="clear" w:color="auto" w:fill="D9E2F3"/>
      </w:tcPr>
    </w:tblStylePr>
  </w:style>
  <w:style w:type="paragraph" w:customStyle="1" w:styleId="17">
    <w:name w:val="修订1"/>
    <w:qFormat/>
    <w:uiPriority w:val="99"/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customStyle="1" w:styleId="18">
    <w:name w:val="批注框文本 字符"/>
    <w:basedOn w:val="10"/>
    <w:link w:val="4"/>
    <w:qFormat/>
    <w:uiPriority w:val="99"/>
    <w:rPr>
      <w:sz w:val="18"/>
      <w:szCs w:val="18"/>
    </w:rPr>
  </w:style>
  <w:style w:type="character" w:customStyle="1" w:styleId="19">
    <w:name w:val="批注文字 字符"/>
    <w:basedOn w:val="10"/>
    <w:link w:val="2"/>
    <w:qFormat/>
    <w:uiPriority w:val="99"/>
  </w:style>
  <w:style w:type="character" w:customStyle="1" w:styleId="20">
    <w:name w:val="批注主题 字符"/>
    <w:basedOn w:val="19"/>
    <w:link w:val="7"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1261</Words>
  <Characters>1326</Characters>
  <Paragraphs>25</Paragraphs>
  <TotalTime>0</TotalTime>
  <ScaleCrop>false</ScaleCrop>
  <LinksUpToDate>false</LinksUpToDate>
  <CharactersWithSpaces>1338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2022-09-21T12:07:00Z</dcterms:created>
  <dc:creator>lenovo</dc:creator>
  <cp:lastModifiedBy>雪梨不加糖</cp:lastModifiedBy>
  <cp:lastPrinted>2022-09-21T08:20:00Z</cp:lastPrinted>
  <dcterms:modified xsi:type="dcterms:W3CDTF">2026-06-03T07:27:53Z</dcterms:modified>
  <cp:revision>111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CD570C55D2494B468173BAD62B1C1346_13</vt:lpwstr>
  </property>
  <property fmtid="{D5CDD505-2E9C-101B-9397-08002B2CF9AE}" pid="4" name="KSOTemplateDocerSaveRecord">
    <vt:lpwstr>eyJoZGlkIjoiYjEzOGIzMWViNmNmNGY5NDQ0NGUwNzRlNTJlY2ZiY2YiLCJ1c2VySWQiOiI3MTA5NDc4OTMifQ==</vt:lpwstr>
  </property>
</Properties>
</file>